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rPr>
      </w:pPr>
      <w:r>
        <w:rPr>
          <w:b/>
        </w:rPr>
        <w:t>IŠANKSTINĖS NUOMONĖS RAŠTU PAREIŠKIMAS</w:t>
      </w:r>
    </w:p>
    <w:p>
      <w:pPr>
        <w:pStyle w:val="Normal"/>
        <w:rPr/>
      </w:pPr>
      <w:r>
        <w:rPr/>
      </w:r>
    </w:p>
    <w:p>
      <w:pPr>
        <w:pStyle w:val="ListParagraph"/>
        <w:numPr>
          <w:ilvl w:val="0"/>
          <w:numId w:val="1"/>
        </w:numPr>
        <w:tabs>
          <w:tab w:val="clear" w:pos="1298"/>
          <w:tab w:val="right" w:pos="10206" w:leader="dot"/>
        </w:tabs>
        <w:rPr/>
      </w:pPr>
      <w:r>
        <w:rPr/>
        <w:t xml:space="preserve">Gyvenamojo namo adresas: </w:t>
        <w:tab/>
      </w:r>
    </w:p>
    <w:p>
      <w:pPr>
        <w:pStyle w:val="ListParagraph"/>
        <w:rPr/>
      </w:pPr>
      <w:r>
        <w:rPr/>
      </w:r>
    </w:p>
    <w:p>
      <w:pPr>
        <w:pStyle w:val="ListParagraph"/>
        <w:numPr>
          <w:ilvl w:val="0"/>
          <w:numId w:val="1"/>
        </w:numPr>
        <w:tabs>
          <w:tab w:val="clear" w:pos="1298"/>
          <w:tab w:val="right" w:pos="10206" w:leader="dot"/>
        </w:tabs>
        <w:rPr/>
      </w:pPr>
      <w:r>
        <w:rPr/>
        <w:t>Bendrijos nario vardas, pavardė (juridinio asmens pavadinimas):</w:t>
        <w:tab/>
      </w:r>
    </w:p>
    <w:p>
      <w:pPr>
        <w:pStyle w:val="ListParagraph"/>
        <w:rPr/>
      </w:pPr>
      <w:r>
        <w:rPr/>
      </w:r>
    </w:p>
    <w:p>
      <w:pPr>
        <w:pStyle w:val="ListParagraph"/>
        <w:numPr>
          <w:ilvl w:val="0"/>
          <w:numId w:val="1"/>
        </w:numPr>
        <w:rPr/>
      </w:pPr>
      <w:r>
        <w:rPr/>
        <w:t xml:space="preserve">Svarstomi klausimai: </w:t>
      </w:r>
    </w:p>
    <w:p>
      <w:pPr>
        <w:pStyle w:val="ListParagraph"/>
        <w:numPr>
          <w:ilvl w:val="1"/>
          <w:numId w:val="1"/>
        </w:numPr>
        <w:jc w:val="both"/>
        <w:rPr/>
      </w:pPr>
      <w:r>
        <w:rPr/>
        <w:t xml:space="preserve">Dėl </w:t>
      </w:r>
      <w:r>
        <w:rPr>
          <w:rFonts w:cs="Times New Roman"/>
          <w:sz w:val="24"/>
          <w:szCs w:val="24"/>
        </w:rPr>
        <w:t>lietaus nuotekų sistemos (griovių) lietui surinkti įrengimo visame kvartale Bendrijos lėšomis, surinkus papildomas kaupiamąsias lėšas.</w:t>
      </w:r>
    </w:p>
    <w:p>
      <w:pPr>
        <w:pStyle w:val="ListParagraph"/>
        <w:numPr>
          <w:ilvl w:val="1"/>
          <w:numId w:val="1"/>
        </w:numPr>
        <w:rPr/>
      </w:pPr>
      <w:r>
        <w:rPr/>
        <w:t xml:space="preserve">Dėl </w:t>
      </w:r>
      <w:r>
        <w:rPr>
          <w:rFonts w:cs="Times New Roman"/>
          <w:sz w:val="24"/>
          <w:szCs w:val="24"/>
        </w:rPr>
        <w:t>lietaus nuotekų sistemos (griovių) lietui surinkti įrengimo kiekvieno sklypo savininko individualiai iš savo lėšų (kiekvienas prie savo sklypo).</w:t>
      </w:r>
    </w:p>
    <w:p>
      <w:pPr>
        <w:pStyle w:val="ListParagraph"/>
        <w:numPr>
          <w:ilvl w:val="1"/>
          <w:numId w:val="1"/>
        </w:numPr>
        <w:jc w:val="both"/>
        <w:rPr/>
      </w:pPr>
      <w:r>
        <w:rPr/>
        <w:t xml:space="preserve"> </w:t>
      </w:r>
      <w:r>
        <w:rPr/>
        <w:t xml:space="preserve">Dėl </w:t>
      </w:r>
      <w:r>
        <w:rPr>
          <w:rFonts w:cs="Times New Roman"/>
          <w:b w:val="false"/>
          <w:i w:val="false"/>
          <w:caps w:val="false"/>
          <w:smallCaps w:val="false"/>
          <w:color w:val="000000"/>
          <w:spacing w:val="0"/>
          <w:sz w:val="24"/>
          <w:szCs w:val="24"/>
        </w:rPr>
        <w:t>lietaus nuotekų įrengimo vykdymo individualiai (Bendrijai nusprendus) ir atsakomybės dėl neišsprendusiems lietaus surinkimo klausimo prie savo sklypo ir taip sugadinus Bendrijos nuosavybę (pvz. kelio dangą). Dėl to, kad  visas atsiradusios žalos išlaidas padengia sklypo savininkas (naudotojas). Žalos atsiradimo faktą dokumentuoja ir tvirtina Bendrijos išrinkti atstovai (auditoriai).</w:t>
      </w:r>
      <w:r>
        <w:rPr>
          <w:rFonts w:cs="Times New Roman"/>
          <w:color w:val="000000"/>
          <w:sz w:val="24"/>
          <w:szCs w:val="24"/>
        </w:rPr>
        <w:t xml:space="preserve"> </w:t>
      </w:r>
    </w:p>
    <w:p>
      <w:pPr>
        <w:pStyle w:val="ListParagraph"/>
        <w:numPr>
          <w:ilvl w:val="1"/>
          <w:numId w:val="1"/>
        </w:numPr>
        <w:jc w:val="both"/>
        <w:rPr/>
      </w:pPr>
      <w:r>
        <w:rPr>
          <w:rFonts w:cs="Times New Roman"/>
          <w:color w:val="000000"/>
          <w:sz w:val="24"/>
          <w:szCs w:val="24"/>
        </w:rPr>
        <w:t xml:space="preserve">Dėl </w:t>
      </w:r>
      <w:r>
        <w:rPr>
          <w:rFonts w:cs="Times New Roman"/>
          <w:b w:val="false"/>
          <w:i w:val="false"/>
          <w:caps w:val="false"/>
          <w:smallCaps w:val="false"/>
          <w:color w:val="000000"/>
          <w:spacing w:val="0"/>
          <w:sz w:val="24"/>
          <w:szCs w:val="24"/>
        </w:rPr>
        <w:t>būtinybės įsirengti šlagbaumus ties įvažiavimais į Bendrijos teritoriją (Vilčių ir Gryneidės gatves), kad sunkiasvoriu transportu nebūtų gadinamas Bendrijos turtas (kelias) ir apribotas pašalinių asmenų eismas kvartale.</w:t>
      </w:r>
      <w:r>
        <w:rPr>
          <w:rFonts w:cs="Times New Roman"/>
          <w:color w:val="000000"/>
          <w:sz w:val="24"/>
          <w:szCs w:val="24"/>
        </w:rPr>
        <w:t xml:space="preserve"> </w:t>
      </w:r>
    </w:p>
    <w:p>
      <w:pPr>
        <w:pStyle w:val="ListParagraph"/>
        <w:numPr>
          <w:ilvl w:val="1"/>
          <w:numId w:val="1"/>
        </w:numPr>
        <w:jc w:val="both"/>
        <w:rPr/>
      </w:pPr>
      <w:r>
        <w:rPr>
          <w:rFonts w:cs="Times New Roman"/>
          <w:color w:val="000000"/>
          <w:sz w:val="24"/>
          <w:szCs w:val="24"/>
        </w:rPr>
        <w:t>Dėl atsinaujinančių elektros energijos šaltinių (saulės elektrinės) įrengimo Bendrijos bendro naudojimo sklype (šalia valymo įrengimų) Bendrijos poreikiams.</w:t>
      </w:r>
    </w:p>
    <w:p>
      <w:pPr>
        <w:pStyle w:val="ListParagraph"/>
        <w:numPr>
          <w:ilvl w:val="1"/>
          <w:numId w:val="1"/>
        </w:numPr>
        <w:jc w:val="both"/>
        <w:rPr/>
      </w:pPr>
      <w:r>
        <w:rPr/>
        <w:t>Kiti klausimai.</w:t>
      </w:r>
    </w:p>
    <w:p>
      <w:pPr>
        <w:pStyle w:val="ListParagraph"/>
        <w:numPr>
          <w:ilvl w:val="0"/>
          <w:numId w:val="1"/>
        </w:numPr>
        <w:rPr/>
      </w:pPr>
      <w:r>
        <w:rPr/>
        <w:t>Nuomonės pareiškimas</w:t>
      </w:r>
    </w:p>
    <w:tbl>
      <w:tblPr>
        <w:tblStyle w:val="Lentelstinklelis"/>
        <w:tblW w:w="1006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65"/>
        <w:gridCol w:w="5814"/>
        <w:gridCol w:w="1418"/>
        <w:gridCol w:w="2267"/>
      </w:tblGrid>
      <w:tr>
        <w:trPr/>
        <w:tc>
          <w:tcPr>
            <w:tcW w:w="565" w:type="dxa"/>
            <w:tcBorders/>
          </w:tcPr>
          <w:p>
            <w:pPr>
              <w:pStyle w:val="ListParagraph"/>
              <w:widowControl w:val="false"/>
              <w:suppressAutoHyphens w:val="true"/>
              <w:spacing w:before="0" w:after="0"/>
              <w:ind w:left="0" w:hanging="0"/>
              <w:contextualSpacing/>
              <w:jc w:val="left"/>
              <w:rPr>
                <w:sz w:val="20"/>
              </w:rPr>
            </w:pPr>
            <w:r>
              <w:rPr>
                <w:rFonts w:eastAsia="Calibri" w:cs=""/>
                <w:kern w:val="0"/>
                <w:sz w:val="20"/>
                <w:szCs w:val="22"/>
                <w:lang w:val="lt-LT" w:eastAsia="en-US" w:bidi="ar-SA"/>
              </w:rPr>
              <w:t>Eil. Nr.</w:t>
            </w:r>
          </w:p>
        </w:tc>
        <w:tc>
          <w:tcPr>
            <w:tcW w:w="5814" w:type="dxa"/>
            <w:tcBorders/>
          </w:tcPr>
          <w:p>
            <w:pPr>
              <w:pStyle w:val="ListParagraph"/>
              <w:widowControl w:val="false"/>
              <w:suppressAutoHyphens w:val="true"/>
              <w:spacing w:before="0" w:after="0"/>
              <w:ind w:left="0" w:hanging="0"/>
              <w:contextualSpacing/>
              <w:jc w:val="left"/>
              <w:rPr>
                <w:sz w:val="20"/>
              </w:rPr>
            </w:pPr>
            <w:r>
              <w:rPr>
                <w:rFonts w:eastAsia="Calibri" w:cs=""/>
                <w:kern w:val="0"/>
                <w:sz w:val="20"/>
                <w:szCs w:val="22"/>
                <w:lang w:val="lt-LT" w:eastAsia="en-US" w:bidi="ar-SA"/>
              </w:rPr>
              <w:t>Klausimas</w:t>
            </w:r>
            <w:r>
              <w:rPr>
                <w:rStyle w:val="Galinsinaosprieraias"/>
                <w:rFonts w:eastAsia="Calibri" w:cs=""/>
                <w:kern w:val="0"/>
                <w:sz w:val="20"/>
                <w:szCs w:val="22"/>
                <w:lang w:val="lt-LT" w:eastAsia="en-US" w:bidi="ar-SA"/>
              </w:rPr>
              <w:endnoteReference w:id="2"/>
            </w:r>
          </w:p>
        </w:tc>
        <w:tc>
          <w:tcPr>
            <w:tcW w:w="1418" w:type="dxa"/>
            <w:tcBorders/>
          </w:tcPr>
          <w:p>
            <w:pPr>
              <w:pStyle w:val="ListParagraph"/>
              <w:widowControl w:val="false"/>
              <w:suppressAutoHyphens w:val="true"/>
              <w:spacing w:before="0" w:after="0"/>
              <w:ind w:left="0" w:hanging="0"/>
              <w:contextualSpacing/>
              <w:jc w:val="left"/>
              <w:rPr>
                <w:sz w:val="20"/>
              </w:rPr>
            </w:pPr>
            <w:r>
              <w:rPr>
                <w:rFonts w:eastAsia="Calibri" w:cs=""/>
                <w:kern w:val="0"/>
                <w:sz w:val="20"/>
                <w:szCs w:val="22"/>
                <w:lang w:val="lt-LT" w:eastAsia="en-US" w:bidi="ar-SA"/>
              </w:rPr>
              <w:t>„</w:t>
            </w:r>
            <w:r>
              <w:rPr>
                <w:rFonts w:eastAsia="Calibri" w:cs=""/>
                <w:kern w:val="0"/>
                <w:sz w:val="20"/>
                <w:szCs w:val="22"/>
                <w:lang w:val="lt-LT" w:eastAsia="en-US" w:bidi="ar-SA"/>
              </w:rPr>
              <w:t>pritariu“ arba „nepritariu“</w:t>
            </w:r>
          </w:p>
        </w:tc>
        <w:tc>
          <w:tcPr>
            <w:tcW w:w="2267" w:type="dxa"/>
            <w:tcBorders/>
          </w:tcPr>
          <w:p>
            <w:pPr>
              <w:pStyle w:val="ListParagraph"/>
              <w:widowControl w:val="false"/>
              <w:suppressAutoHyphens w:val="true"/>
              <w:spacing w:before="0" w:after="0"/>
              <w:ind w:left="0" w:hanging="0"/>
              <w:contextualSpacing/>
              <w:jc w:val="left"/>
              <w:rPr>
                <w:sz w:val="20"/>
              </w:rPr>
            </w:pPr>
            <w:r>
              <w:rPr>
                <w:rFonts w:eastAsia="Calibri" w:cs=""/>
                <w:kern w:val="0"/>
                <w:sz w:val="20"/>
                <w:szCs w:val="22"/>
                <w:lang w:val="lt-LT" w:eastAsia="en-US" w:bidi="ar-SA"/>
              </w:rPr>
              <w:t>Bendrijos nario ar jo įgalioto asmens, vardas, pavardė, parašas</w:t>
            </w:r>
          </w:p>
        </w:tc>
      </w:tr>
      <w:tr>
        <w:trPr>
          <w:trHeight w:val="20" w:hRule="atLeast"/>
        </w:trPr>
        <w:tc>
          <w:tcPr>
            <w:tcW w:w="565" w:type="dxa"/>
            <w:tcBorders>
              <w:bottom w:val="nil"/>
            </w:tcBorders>
          </w:tcPr>
          <w:p>
            <w:pPr>
              <w:pStyle w:val="ListParagraph"/>
              <w:widowControl w:val="false"/>
              <w:numPr>
                <w:ilvl w:val="0"/>
                <w:numId w:val="2"/>
              </w:numPr>
              <w:suppressAutoHyphens w:val="true"/>
              <w:spacing w:before="0" w:after="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5814" w:type="dxa"/>
            <w:tcBorders/>
          </w:tcPr>
          <w:p>
            <w:pPr>
              <w:pStyle w:val="ListParagraph"/>
              <w:widowControl w:val="false"/>
              <w:suppressAutoHyphens w:val="true"/>
              <w:spacing w:before="0" w:after="0"/>
              <w:ind w:left="0" w:hanging="0"/>
              <w:contextualSpacing/>
              <w:jc w:val="both"/>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t xml:space="preserve">Įrengti </w:t>
            </w:r>
            <w:r>
              <w:rPr>
                <w:rFonts w:eastAsia="Calibri" w:cs="Times New Roman"/>
                <w:kern w:val="0"/>
                <w:sz w:val="24"/>
                <w:szCs w:val="24"/>
                <w:lang w:val="lt-LT" w:eastAsia="en-US" w:bidi="ar-SA"/>
              </w:rPr>
              <w:t>lietaus nuotekų sistemą (griovius) lietui surinkti visame kvartale Bendrijos lėšomis, surinkus papildomas kaupiamąsias lėšas.</w:t>
            </w:r>
          </w:p>
        </w:tc>
        <w:tc>
          <w:tcPr>
            <w:tcW w:w="1418"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2267"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r>
      <w:tr>
        <w:trPr>
          <w:trHeight w:val="567" w:hRule="atLeast"/>
        </w:trPr>
        <w:tc>
          <w:tcPr>
            <w:tcW w:w="565" w:type="dxa"/>
            <w:tcBorders>
              <w:top w:val="nil"/>
            </w:tcBorders>
          </w:tcPr>
          <w:p>
            <w:pPr>
              <w:pStyle w:val="Normal"/>
              <w:widowControl w:val="false"/>
              <w:suppressAutoHyphens w:val="true"/>
              <w:spacing w:before="0" w:after="0"/>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5814"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1418"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2267"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r>
      <w:tr>
        <w:trPr>
          <w:trHeight w:val="20" w:hRule="atLeast"/>
        </w:trPr>
        <w:tc>
          <w:tcPr>
            <w:tcW w:w="565" w:type="dxa"/>
            <w:tcBorders>
              <w:bottom w:val="nil"/>
            </w:tcBorders>
          </w:tcPr>
          <w:p>
            <w:pPr>
              <w:pStyle w:val="ListParagraph"/>
              <w:widowControl w:val="false"/>
              <w:numPr>
                <w:ilvl w:val="0"/>
                <w:numId w:val="2"/>
              </w:numPr>
              <w:suppressAutoHyphens w:val="true"/>
              <w:spacing w:before="0" w:after="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5814" w:type="dxa"/>
            <w:tcBorders/>
          </w:tcPr>
          <w:p>
            <w:pPr>
              <w:pStyle w:val="ListParagraph"/>
              <w:widowControl w:val="false"/>
              <w:suppressAutoHyphens w:val="true"/>
              <w:spacing w:before="0" w:after="0"/>
              <w:ind w:left="0" w:hanging="0"/>
              <w:contextualSpacing/>
              <w:jc w:val="both"/>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t xml:space="preserve">Nustatyti, kad </w:t>
            </w:r>
            <w:r>
              <w:rPr>
                <w:rFonts w:eastAsia="Calibri" w:cs="Times New Roman"/>
                <w:kern w:val="0"/>
                <w:sz w:val="24"/>
                <w:szCs w:val="24"/>
                <w:lang w:val="lt-LT" w:eastAsia="en-US" w:bidi="ar-SA"/>
              </w:rPr>
              <w:t>lietaus nuotekų sistemą (griovius) lietui surinkti įsirengia kiekvieno sklypo savininkas individualiai iš savo lėšų (kiekvienas prie savo sklypo).</w:t>
            </w:r>
          </w:p>
        </w:tc>
        <w:tc>
          <w:tcPr>
            <w:tcW w:w="1418"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2267"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r>
      <w:tr>
        <w:trPr>
          <w:trHeight w:val="567" w:hRule="atLeast"/>
        </w:trPr>
        <w:tc>
          <w:tcPr>
            <w:tcW w:w="565" w:type="dxa"/>
            <w:tcBorders>
              <w:top w:val="nil"/>
            </w:tcBorders>
          </w:tcPr>
          <w:p>
            <w:pPr>
              <w:pStyle w:val="Normal"/>
              <w:widowControl w:val="false"/>
              <w:suppressAutoHyphens w:val="true"/>
              <w:spacing w:before="0" w:after="0"/>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5814"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1418"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2267"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r>
      <w:tr>
        <w:trPr>
          <w:trHeight w:val="20" w:hRule="atLeast"/>
        </w:trPr>
        <w:tc>
          <w:tcPr>
            <w:tcW w:w="565" w:type="dxa"/>
            <w:tcBorders>
              <w:bottom w:val="nil"/>
            </w:tcBorders>
          </w:tcPr>
          <w:p>
            <w:pPr>
              <w:pStyle w:val="ListParagraph"/>
              <w:widowControl w:val="false"/>
              <w:numPr>
                <w:ilvl w:val="0"/>
                <w:numId w:val="2"/>
              </w:numPr>
              <w:suppressAutoHyphens w:val="true"/>
              <w:spacing w:before="0" w:after="0"/>
              <w:contextualSpacing/>
              <w:jc w:val="both"/>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5814" w:type="dxa"/>
            <w:tcBorders/>
          </w:tcPr>
          <w:p>
            <w:pPr>
              <w:pStyle w:val="ListParagraph"/>
              <w:widowControl w:val="false"/>
              <w:suppressAutoHyphens w:val="true"/>
              <w:spacing w:before="0" w:after="0"/>
              <w:ind w:left="0" w:hanging="0"/>
              <w:contextualSpacing/>
              <w:jc w:val="both"/>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t xml:space="preserve">Nustatyti, kad neįsirengus </w:t>
            </w:r>
            <w:r>
              <w:rPr>
                <w:rFonts w:eastAsia="Calibri" w:cs="Times New Roman"/>
                <w:b w:val="false"/>
                <w:i w:val="false"/>
                <w:caps w:val="false"/>
                <w:smallCaps w:val="false"/>
                <w:color w:val="000000"/>
                <w:spacing w:val="0"/>
                <w:kern w:val="0"/>
                <w:sz w:val="24"/>
                <w:szCs w:val="24"/>
                <w:lang w:val="lt-LT" w:eastAsia="en-US" w:bidi="ar-SA"/>
              </w:rPr>
              <w:t>lietaus nuotekų sistemos  individualiai (Bendrijai nusprendus), atsakomybė dėl neišsprendusiems lietaus surinkimo klausimo prie savo sklypo ir taip sugadinus Bendrijos nuosavybę (pvz. kelio dangą), atsakomybė tenka sklypo savininkui (naudotojui). Sugadinus Bendrijos turtą visas atsiradusios žalos išlaidas, pilna apimtimi, padengia sklypo savininkas (naudotojas). Žalos atsiradimo faktą dokumentuoja ir tvirtina Bendrijos išrinkti atstovai (auditoriai).</w:t>
            </w:r>
            <w:r>
              <w:rPr>
                <w:rFonts w:eastAsia="Calibri" w:cs="Times New Roman"/>
                <w:color w:val="000000"/>
                <w:kern w:val="0"/>
                <w:sz w:val="24"/>
                <w:szCs w:val="24"/>
                <w:lang w:val="lt-LT" w:eastAsia="en-US" w:bidi="ar-SA"/>
              </w:rPr>
              <w:t xml:space="preserve"> </w:t>
            </w:r>
          </w:p>
        </w:tc>
        <w:tc>
          <w:tcPr>
            <w:tcW w:w="1418"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2267"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r>
      <w:tr>
        <w:trPr>
          <w:trHeight w:val="567" w:hRule="atLeast"/>
        </w:trPr>
        <w:tc>
          <w:tcPr>
            <w:tcW w:w="565" w:type="dxa"/>
            <w:tcBorders>
              <w:top w:val="nil"/>
              <w:bottom w:val="nil"/>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5814"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1418"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2267"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r>
      <w:tr>
        <w:trPr>
          <w:trHeight w:val="20" w:hRule="atLeast"/>
        </w:trPr>
        <w:tc>
          <w:tcPr>
            <w:tcW w:w="565" w:type="dxa"/>
            <w:tcBorders/>
          </w:tcPr>
          <w:p>
            <w:pPr>
              <w:pStyle w:val="ListParagraph"/>
              <w:widowControl w:val="false"/>
              <w:numPr>
                <w:ilvl w:val="0"/>
                <w:numId w:val="2"/>
              </w:numPr>
              <w:suppressAutoHyphens w:val="true"/>
              <w:spacing w:before="0" w:after="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5814" w:type="dxa"/>
            <w:tcBorders/>
          </w:tcPr>
          <w:p>
            <w:pPr>
              <w:pStyle w:val="ListParagraph"/>
              <w:widowControl w:val="false"/>
              <w:suppressAutoHyphens w:val="true"/>
              <w:spacing w:before="0" w:after="0"/>
              <w:ind w:left="0" w:hanging="0"/>
              <w:contextualSpacing/>
              <w:jc w:val="both"/>
              <w:rPr>
                <w:rFonts w:ascii="Times New Roman" w:hAnsi="Times New Roman" w:eastAsia="Calibri" w:cs=""/>
                <w:kern w:val="0"/>
                <w:sz w:val="24"/>
                <w:szCs w:val="22"/>
                <w:lang w:val="lt-LT" w:eastAsia="en-US" w:bidi="ar-SA"/>
              </w:rPr>
            </w:pPr>
            <w:r>
              <w:rPr>
                <w:rFonts w:eastAsia="Calibri" w:cs="Times New Roman"/>
                <w:b w:val="false"/>
                <w:i w:val="false"/>
                <w:caps w:val="false"/>
                <w:smallCaps w:val="false"/>
                <w:color w:val="000000"/>
                <w:spacing w:val="0"/>
                <w:kern w:val="0"/>
                <w:sz w:val="24"/>
                <w:szCs w:val="24"/>
                <w:lang w:val="lt-LT" w:eastAsia="en-US" w:bidi="ar-SA"/>
              </w:rPr>
              <w:t>Įsirengti šlagbaumus ties įvažiavimais į Bendrijos teritoriją (Vilčių ir Gryneidės gatves), kad sunkiasvoriu transportu nebūtų gadinamas Bendrijos turtas (kelias) ir apribotas pašalinių asmenų eismas kvartale.</w:t>
            </w:r>
            <w:r>
              <w:rPr>
                <w:rFonts w:eastAsia="Calibri" w:cs="Times New Roman"/>
                <w:color w:val="000000"/>
                <w:kern w:val="0"/>
                <w:sz w:val="24"/>
                <w:szCs w:val="24"/>
                <w:lang w:val="lt-LT" w:eastAsia="en-US" w:bidi="ar-SA"/>
              </w:rPr>
              <w:t xml:space="preserve"> </w:t>
            </w:r>
          </w:p>
        </w:tc>
        <w:tc>
          <w:tcPr>
            <w:tcW w:w="1418"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2267"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r>
      <w:tr>
        <w:trPr>
          <w:trHeight w:val="567" w:hRule="atLeast"/>
        </w:trPr>
        <w:tc>
          <w:tcPr>
            <w:tcW w:w="565" w:type="dxa"/>
            <w:tcBorders/>
          </w:tcPr>
          <w:p>
            <w:pPr>
              <w:pStyle w:val="ListParagraph"/>
              <w:widowControl w:val="false"/>
              <w:suppressAutoHyphens w:val="true"/>
              <w:spacing w:before="0" w:after="0"/>
              <w:ind w:left="36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5814"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1418"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2267"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r>
    </w:tbl>
    <w:p>
      <w:pPr>
        <w:sectPr>
          <w:endnotePr>
            <w:numFmt w:val="lowerRoman"/>
          </w:endnotePr>
          <w:type w:val="nextPage"/>
          <w:pgSz w:w="11906" w:h="16838"/>
          <w:pgMar w:left="1134" w:right="567" w:gutter="0" w:header="0" w:top="1135" w:footer="0" w:bottom="1134"/>
          <w:pgNumType w:fmt="decimal"/>
          <w:formProt w:val="false"/>
          <w:textDirection w:val="lrTb"/>
          <w:docGrid w:type="default" w:linePitch="360" w:charSpace="0"/>
        </w:sectPr>
      </w:pPr>
    </w:p>
    <w:p>
      <w:pPr>
        <w:pStyle w:val="Normal"/>
        <w:rPr/>
      </w:pPr>
      <w:r>
        <w:rPr/>
      </w:r>
    </w:p>
    <w:tbl>
      <w:tblPr>
        <w:tblStyle w:val="Lentelstinklelis"/>
        <w:tblW w:w="1006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65"/>
        <w:gridCol w:w="5814"/>
        <w:gridCol w:w="1418"/>
        <w:gridCol w:w="2268"/>
      </w:tblGrid>
      <w:tr>
        <w:trPr>
          <w:trHeight w:val="20" w:hRule="atLeast"/>
        </w:trPr>
        <w:tc>
          <w:tcPr>
            <w:tcW w:w="565" w:type="dxa"/>
            <w:tcBorders/>
          </w:tcPr>
          <w:p>
            <w:pPr>
              <w:pStyle w:val="ListParagraph"/>
              <w:widowControl w:val="false"/>
              <w:numPr>
                <w:ilvl w:val="0"/>
                <w:numId w:val="2"/>
              </w:numPr>
              <w:suppressAutoHyphens w:val="true"/>
              <w:spacing w:before="0" w:after="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5814" w:type="dxa"/>
            <w:tcBorders/>
          </w:tcPr>
          <w:p>
            <w:pPr>
              <w:pStyle w:val="ListParagraph"/>
              <w:widowControl w:val="false"/>
              <w:suppressAutoHyphens w:val="true"/>
              <w:spacing w:before="0" w:after="0"/>
              <w:ind w:left="0" w:hanging="0"/>
              <w:contextualSpacing/>
              <w:jc w:val="both"/>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t xml:space="preserve">Įsirengti </w:t>
            </w:r>
            <w:r>
              <w:rPr>
                <w:rFonts w:eastAsia="Calibri" w:cs="Times New Roman"/>
                <w:color w:val="000000"/>
                <w:kern w:val="0"/>
                <w:sz w:val="24"/>
                <w:szCs w:val="24"/>
                <w:lang w:val="lt-LT" w:eastAsia="en-US" w:bidi="ar-SA"/>
              </w:rPr>
              <w:t>atsinaujinančius elektros energijos šaltinius (saulės elektrinę) Bendrijos bendro naudojimo sklype (šalia valymo įrengimų) Bendrijos poreikiams.</w:t>
            </w:r>
          </w:p>
        </w:tc>
        <w:tc>
          <w:tcPr>
            <w:tcW w:w="1418"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2268"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r>
      <w:tr>
        <w:trPr>
          <w:trHeight w:val="567" w:hRule="atLeast"/>
        </w:trPr>
        <w:tc>
          <w:tcPr>
            <w:tcW w:w="565" w:type="dxa"/>
            <w:tcBorders/>
          </w:tcPr>
          <w:p>
            <w:pPr>
              <w:pStyle w:val="ListParagraph"/>
              <w:widowControl w:val="false"/>
              <w:suppressAutoHyphens w:val="true"/>
              <w:spacing w:before="0" w:after="0"/>
              <w:ind w:left="36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5814"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1418" w:type="dxa"/>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2268" w:type="dxa"/>
            <w:tcBorders/>
          </w:tcPr>
          <w:p>
            <w:pPr>
              <w:pStyle w:val="ListParagraph"/>
              <w:widowControl w:val="false"/>
              <w:numPr>
                <w:ilvl w:val="0"/>
                <w:numId w:val="0"/>
              </w:numPr>
              <w:suppressAutoHyphens w:val="true"/>
              <w:spacing w:before="0" w:after="0"/>
              <w:ind w:left="36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r>
      <w:tr>
        <w:trPr>
          <w:trHeight w:val="567" w:hRule="atLeast"/>
        </w:trPr>
        <w:tc>
          <w:tcPr>
            <w:tcW w:w="565" w:type="dxa"/>
            <w:tcBorders>
              <w:top w:val="nil"/>
            </w:tcBorders>
          </w:tcPr>
          <w:p>
            <w:pPr>
              <w:pStyle w:val="ListParagraph"/>
              <w:widowControl w:val="false"/>
              <w:suppressAutoHyphens w:val="true"/>
              <w:spacing w:before="0" w:after="0"/>
              <w:ind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t>6.</w:t>
            </w:r>
          </w:p>
        </w:tc>
        <w:tc>
          <w:tcPr>
            <w:tcW w:w="5814" w:type="dxa"/>
            <w:tcBorders>
              <w:top w:val="nil"/>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t>Kiti klausimai</w:t>
            </w:r>
          </w:p>
        </w:tc>
        <w:tc>
          <w:tcPr>
            <w:tcW w:w="1418" w:type="dxa"/>
            <w:tcBorders>
              <w:top w:val="nil"/>
            </w:tcBorders>
          </w:tcPr>
          <w:p>
            <w:pPr>
              <w:pStyle w:val="ListParagraph"/>
              <w:widowControl w:val="false"/>
              <w:suppressAutoHyphens w:val="true"/>
              <w:spacing w:before="0" w:after="0"/>
              <w:ind w:left="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2268" w:type="dxa"/>
            <w:tcBorders>
              <w:top w:val="nil"/>
            </w:tcBorders>
          </w:tcPr>
          <w:p>
            <w:pPr>
              <w:pStyle w:val="ListParagraph"/>
              <w:widowControl w:val="false"/>
              <w:suppressAutoHyphens w:val="true"/>
              <w:spacing w:before="0" w:after="0"/>
              <w:ind w:left="360" w:hanging="0"/>
              <w:contextualSpacing/>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r>
    </w:tbl>
    <w:p>
      <w:pPr>
        <w:pStyle w:val="ListParagraph"/>
        <w:numPr>
          <w:ilvl w:val="0"/>
          <w:numId w:val="0"/>
        </w:numPr>
        <w:ind w:hanging="0"/>
        <w:rPr/>
      </w:pPr>
      <w:r>
        <w:rPr/>
        <w:t xml:space="preserve">7. </w:t>
      </w:r>
      <w:r>
        <w:rPr/>
        <w:t>Nuomonės pareiškimas turi būti įteiktas iki 2023-</w:t>
      </w:r>
      <w:r>
        <w:rPr/>
        <w:t>12-</w:t>
      </w:r>
      <w:r>
        <w:rPr/>
        <w:t>07, 19.00 val.</w:t>
      </w:r>
    </w:p>
    <w:p>
      <w:pPr>
        <w:pStyle w:val="ListParagraph"/>
        <w:ind w:left="360" w:hanging="0"/>
        <w:rPr/>
      </w:pPr>
      <w:r>
        <w:rPr/>
      </w:r>
    </w:p>
    <w:p>
      <w:pPr>
        <w:pStyle w:val="ListParagraph"/>
        <w:numPr>
          <w:ilvl w:val="0"/>
          <w:numId w:val="0"/>
        </w:numPr>
        <w:ind w:hanging="0"/>
        <w:rPr/>
      </w:pPr>
      <w:r>
        <w:rPr/>
        <w:t xml:space="preserve">8. </w:t>
      </w:r>
      <w:r>
        <w:rPr/>
        <w:t>Pareiškimo įteikimo būdai:</w:t>
      </w:r>
    </w:p>
    <w:p>
      <w:pPr>
        <w:pStyle w:val="ListParagraph"/>
        <w:numPr>
          <w:ilvl w:val="0"/>
          <w:numId w:val="0"/>
        </w:numPr>
        <w:ind w:hanging="0"/>
        <w:rPr/>
      </w:pPr>
      <w:r>
        <w:rPr/>
        <w:t xml:space="preserve">8.1. </w:t>
      </w:r>
      <w:r>
        <w:rPr/>
        <w:t>Pasirašytą ir skanuotą siųsti el. paštu: andrejus.byckovas@gmail.com</w:t>
      </w:r>
    </w:p>
    <w:p>
      <w:pPr>
        <w:pStyle w:val="ListParagraph"/>
        <w:numPr>
          <w:ilvl w:val="0"/>
          <w:numId w:val="0"/>
        </w:numPr>
        <w:ind w:hanging="0"/>
        <w:rPr/>
      </w:pPr>
      <w:r>
        <w:rPr/>
        <w:t xml:space="preserve">8.2. </w:t>
      </w:r>
      <w:r>
        <w:rPr/>
        <w:t>Pasirašytą įmesti į pašto dėžutę adresu Gryneidės g. 13, Trušeliai</w:t>
      </w:r>
    </w:p>
    <w:p>
      <w:pPr>
        <w:pStyle w:val="ListParagraph"/>
        <w:numPr>
          <w:ilvl w:val="0"/>
          <w:numId w:val="0"/>
        </w:numPr>
        <w:ind w:hanging="0"/>
        <w:rPr/>
      </w:pPr>
      <w:r>
        <w:rPr/>
        <w:t xml:space="preserve">9. </w:t>
      </w:r>
      <w:r>
        <w:rPr/>
        <w:t>Balsavimo organizatorius: bendrijos „Trušeliai“ pirmininkas Andrejus Byčkovas, tel. +370 686 90852; Gryneidės g. 13, Trušeliai</w:t>
      </w:r>
    </w:p>
    <w:p>
      <w:pPr>
        <w:pStyle w:val="Normal"/>
        <w:rPr/>
      </w:pPr>
      <w:r>
        <w:rPr/>
      </w:r>
    </w:p>
    <w:p>
      <w:pPr>
        <w:pStyle w:val="Normal"/>
        <w:rPr/>
      </w:pPr>
      <w:r>
        <w:rPr/>
        <w:t>Išankstinės nuomonės raštu pareiškimą užpildė:</w:t>
      </w:r>
    </w:p>
    <w:tbl>
      <w:tblPr>
        <w:tblStyle w:val="Lentelstinklelis"/>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67"/>
        <w:gridCol w:w="692"/>
        <w:gridCol w:w="2774"/>
        <w:gridCol w:w="557"/>
        <w:gridCol w:w="2048"/>
      </w:tblGrid>
      <w:tr>
        <w:trPr/>
        <w:tc>
          <w:tcPr>
            <w:tcW w:w="3567" w:type="dxa"/>
            <w:tcBorders>
              <w:top w:val="nil"/>
              <w:left w:val="nil"/>
              <w:right w:val="nil"/>
            </w:tcBorders>
          </w:tcPr>
          <w:p>
            <w:pPr>
              <w:pStyle w:val="Normal"/>
              <w:widowControl w:val="false"/>
              <w:suppressAutoHyphens w:val="true"/>
              <w:spacing w:before="0" w:after="0"/>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692" w:type="dxa"/>
            <w:tcBorders>
              <w:top w:val="nil"/>
              <w:left w:val="nil"/>
              <w:bottom w:val="nil"/>
              <w:right w:val="nil"/>
            </w:tcBorders>
          </w:tcPr>
          <w:p>
            <w:pPr>
              <w:pStyle w:val="Normal"/>
              <w:widowControl w:val="false"/>
              <w:suppressAutoHyphens w:val="true"/>
              <w:spacing w:before="0" w:after="0"/>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2774" w:type="dxa"/>
            <w:tcBorders>
              <w:top w:val="nil"/>
              <w:left w:val="nil"/>
              <w:right w:val="nil"/>
            </w:tcBorders>
          </w:tcPr>
          <w:p>
            <w:pPr>
              <w:pStyle w:val="Normal"/>
              <w:widowControl w:val="false"/>
              <w:suppressAutoHyphens w:val="true"/>
              <w:spacing w:before="0" w:after="0"/>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557" w:type="dxa"/>
            <w:tcBorders>
              <w:top w:val="nil"/>
              <w:left w:val="nil"/>
              <w:bottom w:val="nil"/>
              <w:right w:val="nil"/>
            </w:tcBorders>
          </w:tcPr>
          <w:p>
            <w:pPr>
              <w:pStyle w:val="Normal"/>
              <w:widowControl w:val="false"/>
              <w:suppressAutoHyphens w:val="true"/>
              <w:spacing w:before="0" w:after="0"/>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c>
          <w:tcPr>
            <w:tcW w:w="2048" w:type="dxa"/>
            <w:tcBorders>
              <w:top w:val="nil"/>
              <w:left w:val="nil"/>
              <w:right w:val="nil"/>
            </w:tcBorders>
          </w:tcPr>
          <w:p>
            <w:pPr>
              <w:pStyle w:val="Normal"/>
              <w:widowControl w:val="false"/>
              <w:suppressAutoHyphens w:val="true"/>
              <w:spacing w:before="0" w:after="0"/>
              <w:jc w:val="left"/>
              <w:rPr>
                <w:rFonts w:ascii="Times New Roman" w:hAnsi="Times New Roman" w:eastAsia="Calibri" w:cs=""/>
                <w:kern w:val="0"/>
                <w:sz w:val="24"/>
                <w:szCs w:val="22"/>
                <w:lang w:val="lt-LT" w:eastAsia="en-US" w:bidi="ar-SA"/>
              </w:rPr>
            </w:pPr>
            <w:r>
              <w:rPr>
                <w:rFonts w:eastAsia="Calibri" w:cs=""/>
                <w:kern w:val="0"/>
                <w:sz w:val="24"/>
                <w:szCs w:val="22"/>
                <w:lang w:val="lt-LT" w:eastAsia="en-US" w:bidi="ar-SA"/>
              </w:rPr>
            </w:r>
          </w:p>
        </w:tc>
      </w:tr>
      <w:tr>
        <w:trPr/>
        <w:tc>
          <w:tcPr>
            <w:tcW w:w="3567" w:type="dxa"/>
            <w:tcBorders>
              <w:left w:val="nil"/>
              <w:bottom w:val="nil"/>
              <w:right w:val="nil"/>
            </w:tcBorders>
          </w:tcPr>
          <w:p>
            <w:pPr>
              <w:pStyle w:val="Normal"/>
              <w:widowControl w:val="false"/>
              <w:suppressAutoHyphens w:val="true"/>
              <w:spacing w:before="0" w:after="0"/>
              <w:jc w:val="center"/>
              <w:rPr>
                <w:sz w:val="20"/>
                <w:szCs w:val="20"/>
              </w:rPr>
            </w:pPr>
            <w:r>
              <w:rPr>
                <w:rFonts w:eastAsia="Calibri" w:cs=""/>
                <w:kern w:val="0"/>
                <w:sz w:val="20"/>
                <w:szCs w:val="20"/>
                <w:lang w:val="lt-LT" w:eastAsia="en-US" w:bidi="ar-SA"/>
              </w:rPr>
              <w:t>Vardas, pavardė</w:t>
            </w:r>
          </w:p>
        </w:tc>
        <w:tc>
          <w:tcPr>
            <w:tcW w:w="692" w:type="dxa"/>
            <w:tcBorders>
              <w:top w:val="nil"/>
              <w:left w:val="nil"/>
              <w:bottom w:val="nil"/>
              <w:right w:val="nil"/>
            </w:tcBorders>
          </w:tcPr>
          <w:p>
            <w:pPr>
              <w:pStyle w:val="Normal"/>
              <w:widowControl w:val="false"/>
              <w:suppressAutoHyphens w:val="true"/>
              <w:spacing w:before="0" w:after="0"/>
              <w:jc w:val="center"/>
              <w:rPr>
                <w:sz w:val="20"/>
                <w:szCs w:val="20"/>
              </w:rPr>
            </w:pPr>
            <w:r>
              <w:rPr>
                <w:sz w:val="20"/>
                <w:szCs w:val="20"/>
              </w:rPr>
            </w:r>
          </w:p>
        </w:tc>
        <w:tc>
          <w:tcPr>
            <w:tcW w:w="2774" w:type="dxa"/>
            <w:tcBorders>
              <w:left w:val="nil"/>
              <w:bottom w:val="nil"/>
              <w:right w:val="nil"/>
            </w:tcBorders>
          </w:tcPr>
          <w:p>
            <w:pPr>
              <w:pStyle w:val="Normal"/>
              <w:widowControl w:val="false"/>
              <w:suppressAutoHyphens w:val="true"/>
              <w:spacing w:before="0" w:after="0"/>
              <w:jc w:val="center"/>
              <w:rPr>
                <w:sz w:val="20"/>
                <w:szCs w:val="20"/>
              </w:rPr>
            </w:pPr>
            <w:r>
              <w:rPr>
                <w:rFonts w:eastAsia="Calibri" w:cs=""/>
                <w:kern w:val="0"/>
                <w:sz w:val="20"/>
                <w:szCs w:val="20"/>
                <w:lang w:val="lt-LT" w:eastAsia="en-US" w:bidi="ar-SA"/>
              </w:rPr>
              <w:t>Parašas</w:t>
            </w:r>
          </w:p>
        </w:tc>
        <w:tc>
          <w:tcPr>
            <w:tcW w:w="557" w:type="dxa"/>
            <w:tcBorders>
              <w:top w:val="nil"/>
              <w:left w:val="nil"/>
              <w:bottom w:val="nil"/>
              <w:right w:val="nil"/>
            </w:tcBorders>
          </w:tcPr>
          <w:p>
            <w:pPr>
              <w:pStyle w:val="Normal"/>
              <w:widowControl w:val="false"/>
              <w:suppressAutoHyphens w:val="true"/>
              <w:spacing w:before="0" w:after="0"/>
              <w:jc w:val="center"/>
              <w:rPr>
                <w:sz w:val="20"/>
                <w:szCs w:val="20"/>
              </w:rPr>
            </w:pPr>
            <w:r>
              <w:rPr>
                <w:sz w:val="20"/>
                <w:szCs w:val="20"/>
              </w:rPr>
            </w:r>
          </w:p>
        </w:tc>
        <w:tc>
          <w:tcPr>
            <w:tcW w:w="2048" w:type="dxa"/>
            <w:tcBorders>
              <w:left w:val="nil"/>
              <w:bottom w:val="nil"/>
              <w:right w:val="nil"/>
            </w:tcBorders>
          </w:tcPr>
          <w:p>
            <w:pPr>
              <w:pStyle w:val="Normal"/>
              <w:widowControl w:val="false"/>
              <w:suppressAutoHyphens w:val="true"/>
              <w:spacing w:before="0" w:after="0"/>
              <w:jc w:val="center"/>
              <w:rPr>
                <w:sz w:val="20"/>
                <w:szCs w:val="20"/>
              </w:rPr>
            </w:pPr>
            <w:r>
              <w:rPr>
                <w:rFonts w:eastAsia="Calibri" w:cs=""/>
                <w:kern w:val="0"/>
                <w:sz w:val="20"/>
                <w:szCs w:val="20"/>
                <w:lang w:val="lt-LT" w:eastAsia="en-US" w:bidi="ar-SA"/>
              </w:rPr>
              <w:t>Data</w:t>
            </w:r>
          </w:p>
        </w:tc>
      </w:tr>
    </w:tbl>
    <w:p>
      <w:pPr>
        <w:pStyle w:val="Normal"/>
        <w:rPr/>
      </w:pPr>
      <w:r>
        <w:rPr/>
      </w:r>
    </w:p>
    <w:sectPr>
      <w:endnotePr>
        <w:numFmt w:val="lowerRoman"/>
      </w:endnotePr>
      <w:type w:val="continuous"/>
      <w:pgSz w:w="11906" w:h="16838"/>
      <w:pgMar w:left="1134" w:right="567" w:gutter="0" w:header="0" w:top="1135" w:footer="0" w:bottom="1134"/>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Galininaa"/>
        <w:widowControl w:val="false"/>
        <w:rPr/>
      </w:pPr>
      <w:r>
        <w:rPr>
          <w:rStyle w:val="Galinsinaosramenys"/>
        </w:rPr>
        <w:endnoteRef/>
      </w:r>
      <w:r>
        <w:rPr/>
        <w:t xml:space="preserve"> </w:t>
      </w:r>
      <w:r>
        <w:rPr/>
        <w:t>Jei turite kitą nuomonę atitinkamu dienotvarkės klausimu ir norite ją pareikšti, pvz., nesutinkate su vienu iš klausimų ir jūsų nuomone reiktų elgtis kitaip, ją įrašykite po kiekvienu dienotvarkės klausimu</w:t>
      </w:r>
    </w:p>
    <w:p>
      <w:pPr>
        <w:pStyle w:val="Galininaa"/>
        <w:widowControl w:val="false"/>
        <w:rPr/>
      </w:pPr>
      <w:r>
        <w:rPr/>
      </w:r>
    </w:p>
    <w:p>
      <w:pPr>
        <w:pStyle w:val="Galininaa"/>
        <w:widowControl w:val="false"/>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298"/>
  <w:autoHyphenation w:val="true"/>
  <w:endnotePr>
    <w:numFmt w:val="lowerRoman"/>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lt-L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Calibri" w:cs="" w:cstheme="minorBidi" w:eastAsiaTheme="minorHAnsi"/>
      <w:color w:val="auto"/>
      <w:kern w:val="0"/>
      <w:sz w:val="24"/>
      <w:szCs w:val="22"/>
      <w:lang w:val="lt-LT" w:eastAsia="en-US" w:bidi="ar-SA"/>
    </w:rPr>
  </w:style>
  <w:style w:type="character" w:styleId="DefaultParagraphFont" w:default="1">
    <w:name w:val="Default Paragraph Font"/>
    <w:uiPriority w:val="1"/>
    <w:unhideWhenUsed/>
    <w:qFormat/>
    <w:rPr/>
  </w:style>
  <w:style w:type="character" w:styleId="DokumentoinaostekstasDiagrama" w:customStyle="1">
    <w:name w:val="Dokumento išnašos tekstas Diagrama"/>
    <w:basedOn w:val="DefaultParagraphFont"/>
    <w:uiPriority w:val="99"/>
    <w:semiHidden/>
    <w:qFormat/>
    <w:rsid w:val="00855ee1"/>
    <w:rPr>
      <w:sz w:val="20"/>
      <w:szCs w:val="20"/>
    </w:rPr>
  </w:style>
  <w:style w:type="character" w:styleId="Galinsinaosprieraias">
    <w:name w:val="Galinės išnašos prieraišas"/>
    <w:rPr>
      <w:vertAlign w:val="superscript"/>
    </w:rPr>
  </w:style>
  <w:style w:type="character" w:styleId="EndnoteCharacters">
    <w:name w:val="Endnote Characters"/>
    <w:basedOn w:val="DefaultParagraphFont"/>
    <w:uiPriority w:val="99"/>
    <w:semiHidden/>
    <w:unhideWhenUsed/>
    <w:qFormat/>
    <w:rsid w:val="00855ee1"/>
    <w:rPr>
      <w:vertAlign w:val="superscript"/>
    </w:rPr>
  </w:style>
  <w:style w:type="character" w:styleId="Internetosaitas">
    <w:name w:val="Interneto saitas"/>
    <w:basedOn w:val="DefaultParagraphFont"/>
    <w:uiPriority w:val="99"/>
    <w:unhideWhenUsed/>
    <w:rsid w:val="001835c1"/>
    <w:rPr>
      <w:color w:val="0000FF" w:themeColor="hyperlink"/>
      <w:u w:val="single"/>
    </w:rPr>
  </w:style>
  <w:style w:type="character" w:styleId="Galinsinaosramenys">
    <w:name w:val="Galinės išnašos rašmenys"/>
    <w:qFormat/>
    <w:rPr/>
  </w:style>
  <w:style w:type="character" w:styleId="Inaosprieraias">
    <w:name w:val="Išnašos prieraišas"/>
    <w:rPr>
      <w:vertAlign w:val="superscript"/>
    </w:rPr>
  </w:style>
  <w:style w:type="character" w:styleId="Inaosramenys">
    <w:name w:val="Išnašos rašmenys"/>
    <w:qFormat/>
    <w:rPr/>
  </w:style>
  <w:style w:type="paragraph" w:styleId="Antrat">
    <w:name w:val="Antraštė"/>
    <w:basedOn w:val="Normal"/>
    <w:next w:val="Pagrindinistekstas"/>
    <w:qFormat/>
    <w:pPr>
      <w:keepNext w:val="true"/>
      <w:spacing w:before="240" w:after="120"/>
    </w:pPr>
    <w:rPr>
      <w:rFonts w:ascii="Liberation Sans" w:hAnsi="Liberation Sans" w:eastAsia="Microsoft YaHei" w:cs="Arial"/>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Arial"/>
    </w:rPr>
  </w:style>
  <w:style w:type="paragraph" w:styleId="Pavadinimas">
    <w:name w:val="Caption"/>
    <w:basedOn w:val="Normal"/>
    <w:qFormat/>
    <w:pPr>
      <w:suppressLineNumbers/>
      <w:spacing w:before="120" w:after="120"/>
    </w:pPr>
    <w:rPr>
      <w:rFonts w:cs="Arial"/>
      <w:i/>
      <w:iCs/>
      <w:sz w:val="24"/>
      <w:szCs w:val="24"/>
    </w:rPr>
  </w:style>
  <w:style w:type="paragraph" w:styleId="Rodykl">
    <w:name w:val="Rodyklė"/>
    <w:basedOn w:val="Normal"/>
    <w:qFormat/>
    <w:pPr>
      <w:suppressLineNumbers/>
    </w:pPr>
    <w:rPr>
      <w:rFonts w:cs="Arial"/>
      <w:lang w:val="zxx" w:eastAsia="zxx" w:bidi="zxx"/>
    </w:rPr>
  </w:style>
  <w:style w:type="paragraph" w:styleId="ListParagraph">
    <w:name w:val="List Paragraph"/>
    <w:basedOn w:val="Normal"/>
    <w:uiPriority w:val="34"/>
    <w:qFormat/>
    <w:rsid w:val="00283491"/>
    <w:pPr>
      <w:spacing w:before="0" w:after="0"/>
      <w:ind w:left="720" w:hanging="0"/>
      <w:contextualSpacing/>
    </w:pPr>
    <w:rPr/>
  </w:style>
  <w:style w:type="paragraph" w:styleId="Galininaa">
    <w:name w:val="Endnote Text"/>
    <w:basedOn w:val="Normal"/>
    <w:link w:val="DokumentoinaostekstasDiagrama"/>
    <w:uiPriority w:val="99"/>
    <w:semiHidden/>
    <w:unhideWhenUsed/>
    <w:rsid w:val="00855ee1"/>
    <w:pPr/>
    <w:rPr>
      <w:sz w:val="20"/>
      <w:szCs w:val="20"/>
    </w:rPr>
  </w:style>
  <w:style w:type="paragraph" w:styleId="Lentelsturinys">
    <w:name w:val="Lentelės turinys"/>
    <w:basedOn w:val="Normal"/>
    <w:qFormat/>
    <w:pPr>
      <w:widowControl w:val="false"/>
      <w:suppressLineNumbers/>
    </w:pPr>
    <w:rPr/>
  </w:style>
  <w:style w:type="paragraph" w:styleId="Lentelsantrat">
    <w:name w:val="Lentelės antraštė"/>
    <w:basedOn w:val="Lentelsturinys"/>
    <w:qFormat/>
    <w:pPr>
      <w:suppressLineNumbers/>
      <w:jc w:val="center"/>
    </w:pPr>
    <w:rPr>
      <w:b/>
      <w:bCs/>
    </w:rPr>
  </w:style>
  <w:style w:type="numbering" w:styleId="NoList" w:default="1">
    <w:name w:val="No List"/>
    <w:uiPriority w:val="99"/>
    <w:semiHidden/>
    <w:unhideWhenUsed/>
    <w:qFormat/>
  </w:style>
  <w:style w:type="table" w:default="1" w:styleId="prastojilentel">
    <w:name w:val="Normal Table"/>
    <w:uiPriority w:val="99"/>
    <w:semiHidden/>
    <w:unhideWhenUsed/>
    <w:tblPr>
      <w:tblCellMar>
        <w:top w:w="0" w:type="dxa"/>
        <w:left w:w="108" w:type="dxa"/>
        <w:bottom w:w="0" w:type="dxa"/>
        <w:right w:w="108" w:type="dxa"/>
      </w:tblCellMar>
    </w:tblPr>
  </w:style>
  <w:style w:type="table" w:styleId="Lentelstinklelis">
    <w:name w:val="Table Grid"/>
    <w:basedOn w:val="prastojilentel"/>
    <w:uiPriority w:val="59"/>
    <w:rsid w:val="002834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CF7B7-B93F-421E-957B-31F0058A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LibreOffice/7.3.5.2$Windows_X86_64 LibreOffice_project/184fe81b8c8c30d8b5082578aee2fed2ea847c01</Application>
  <AppVersion>15.0000</AppVersion>
  <Pages>3</Pages>
  <Words>396</Words>
  <Characters>2835</Characters>
  <CharactersWithSpaces>3196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2023-06-20T07:58:00Z</dcterms:created>
  <dc:creator>Mindaugas Stankunas</dc:creator>
  <dc:description/>
  <dc:language>lt-LT</dc:language>
  <cp:lastModifiedBy/>
  <dcterms:modified xsi:type="dcterms:W3CDTF">2023-11-21T09:40:53Z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